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5-</w:t>
      </w:r>
      <w:r>
        <w:rPr>
          <w:rFonts w:ascii="Times New Roman" w:eastAsia="Times New Roman" w:hAnsi="Times New Roman" w:cs="Times New Roman"/>
          <w:sz w:val="26"/>
          <w:szCs w:val="26"/>
        </w:rPr>
        <w:t>213</w:t>
      </w:r>
      <w:r>
        <w:rPr>
          <w:rFonts w:ascii="Times New Roman" w:eastAsia="Times New Roman" w:hAnsi="Times New Roman" w:cs="Times New Roman"/>
          <w:sz w:val="26"/>
          <w:szCs w:val="26"/>
        </w:rPr>
        <w:t>-2610/202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 марта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205, рассмотрев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Жукова Петра Григорьевича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9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15.33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установил: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 протокола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5362/2026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26.01.2026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года, </w:t>
      </w:r>
      <w:r>
        <w:rPr>
          <w:rStyle w:val="cat-UserDefinedgrp-40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телекоммуникационным каналам связи 22.10.2025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представлены сведения о застрахованных лицах по форме ЕФС-1, ГПД Обращение № ЕФС-</w:t>
      </w:r>
      <w:r>
        <w:rPr>
          <w:rStyle w:val="cat-UserDefinedgrp-41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 Согласно п. 6 ст. 11 Федерального закона от 01.04.1996 № 27-ФЗ «Об индивидуальном (персонифицированном) учете в системах обязательного пенсионного страхования и обязательного социального страхования» форма ЕФС-1, раздел 1, подраздел 1.1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На основании вышеуказанной статьи, понятие «период, за который должен быть представлен отчет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отсутствует. В отношении 1 застрахованного лица выявлено 2 правонарушения:</w:t>
      </w:r>
    </w:p>
    <w:tbl>
      <w:tblPr>
        <w:tblW w:w="9945" w:type="dxa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582"/>
        <w:gridCol w:w="1718"/>
        <w:gridCol w:w="2590"/>
        <w:gridCol w:w="3500"/>
      </w:tblGrid>
      <w:tr>
        <w:tblPrEx>
          <w:tblW w:w="9945" w:type="dxa"/>
          <w:tblInd w:w="2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09" w:type="dxa"/>
            <w:tcBorders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7"/>
                <w:szCs w:val="17"/>
              </w:rPr>
              <w:t xml:space="preserve">№ </w:t>
            </w:r>
          </w:p>
        </w:tc>
        <w:tc>
          <w:tcPr>
            <w:tcW w:w="1618" w:type="dxa"/>
            <w:tcBorders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снилс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60" w:type="dxa"/>
            <w:tcBorders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Код КМДГПХ </w:t>
            </w:r>
          </w:p>
        </w:tc>
        <w:tc>
          <w:tcPr>
            <w:tcW w:w="2574" w:type="dxa"/>
            <w:tcBorders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Дата (начала/ </w:t>
            </w:r>
          </w:p>
        </w:tc>
        <w:tc>
          <w:tcPr>
            <w:tcW w:w="3484" w:type="dxa"/>
            <w:tcBorders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34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Дата и время совершения </w:t>
            </w:r>
          </w:p>
        </w:tc>
      </w:tr>
      <w:tr>
        <w:tblPrEx>
          <w:tblW w:w="994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"/>
        </w:trPr>
        <w:tc>
          <w:tcPr>
            <w:tcW w:w="509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п/п </w:t>
            </w:r>
          </w:p>
        </w:tc>
        <w:tc>
          <w:tcPr>
            <w:tcW w:w="16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1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окончания) договора ГПХ </w:t>
            </w:r>
          </w:p>
        </w:tc>
        <w:tc>
          <w:tcPr>
            <w:tcW w:w="3484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34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правонарушения </w:t>
            </w:r>
          </w:p>
        </w:tc>
      </w:tr>
      <w:tr>
        <w:tblPrEx>
          <w:tblW w:w="994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509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</w:pPr>
            <w:r>
              <w:rPr>
                <w:rStyle w:val="cat-UserDefinedgrp-42rplc-22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  <w:t>...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  <w:t xml:space="preserve">Окончание ГПХ 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  <w:t xml:space="preserve">30.09.2025 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34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  <w:t xml:space="preserve">02.10.2025 в </w:t>
            </w:r>
            <w:r>
              <w:rPr>
                <w:rStyle w:val="cat-Timegrp-27rplc-26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  <w:t>время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  <w:t xml:space="preserve"> </w:t>
            </w:r>
          </w:p>
        </w:tc>
      </w:tr>
    </w:tbl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ТОС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16 нарушены установленные Федеральным законом от 01.04.1996 № 27-ФЗ сроки представления в органы Социального фонда Российской Федерации сведений по форме ЕФС- 1, раздел 1, подраздел 1.1, за что предусмотрена ответственность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ст. 15.33.2 КоАП.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рассмотрении дела об административном правонарушении привлекаем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>, будучи извещенн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разбирательства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(п. 6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остановления Пленума ВС РФ от 24.03.2005 г. № 5),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присутствовал, ходатайств об отложении судебного заседания не заявлял. При таких обстоятельствах и на основании ст.25.1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Жукова П.Г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инкриминируемого административного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5362/2026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уведомлением о </w:t>
      </w:r>
      <w:r>
        <w:rPr>
          <w:rFonts w:ascii="Times New Roman" w:eastAsia="Times New Roman" w:hAnsi="Times New Roman" w:cs="Times New Roman"/>
          <w:sz w:val="28"/>
          <w:szCs w:val="28"/>
        </w:rPr>
        <w:t>составлении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08.12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телефонограммой-уведомлением от 08.12.2025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 информацией по страхователю; актом о выявлении правонарушения в сфере законодательства РФ об индивидуальном (персонифицированном) учете в системах обязательного пенсионного страхования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 обязательного социального страхования от 27.10.2025 года; расчетом финансовой санкции;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единой формы «Сведения для ведения индивидуального (персонифицированного) учета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 начисленных страховых взносах на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социально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страховани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от несчастных случаев на производстве и профессиональных заболеваний (ЕФС-1) с приложением;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проверки отчетности; </w:t>
      </w:r>
      <w:r>
        <w:rPr>
          <w:rFonts w:ascii="Times New Roman" w:eastAsia="Times New Roman" w:hAnsi="Times New Roman" w:cs="Times New Roman"/>
          <w:sz w:val="28"/>
          <w:szCs w:val="28"/>
        </w:rPr>
        <w:t>скриншотом формы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ЕФС-</w:t>
      </w:r>
      <w:r>
        <w:rPr>
          <w:rStyle w:val="cat-UserDefinedgrp-41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22.10.2025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копией выписки и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ЕГРЮЛ;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иными материалами дела.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ышеизложенные доказательства в своей совокупности относимы, допустимы, достоверны и свидетельствуют о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Жукова П.Г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инкриминируемом административном правонарушении.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мировой судья квалифицирует по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15.33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</w:t>
      </w:r>
      <w:r>
        <w:rPr>
          <w:rFonts w:ascii="Times New Roman" w:eastAsia="Times New Roman" w:hAnsi="Times New Roman" w:cs="Times New Roman"/>
          <w:sz w:val="28"/>
          <w:szCs w:val="28"/>
        </w:rPr>
        <w:t>названной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Обстоятельств, смягчающих и отягчающих административную ответственность, судом не выявлено.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взыскания, соблюдая требования </w:t>
      </w:r>
      <w:hyperlink r:id="rId4" w:anchor="/document/12125267/entry/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4.1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учитывает характер совершенного правонарушения, обстоятельства его совершения, личность правонарушителя,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к административной ответственности не привлекавшегося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считает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Жукову П.Г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в виде минимального штрафа, установленного санкцией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anchor="/document/12125267/entry/156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15.33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.2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29.10, 29.11 </w:t>
      </w:r>
      <w:r>
        <w:rPr>
          <w:rFonts w:ascii="Times New Roman" w:eastAsia="Times New Roman" w:hAnsi="Times New Roman" w:cs="Times New Roman"/>
          <w:sz w:val="28"/>
          <w:szCs w:val="28"/>
        </w:rPr>
        <w:t>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должностное лицо – председателя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UserDefinedgrp-40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Жукова Петра Григорьевича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15.33.2 КоАП РФ и подвергнуть наказанию в виде штрафа в размере </w:t>
      </w:r>
      <w:r>
        <w:rPr>
          <w:rStyle w:val="cat-Sumgrp-25rplc-4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подлежит зачислению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следующим реквизитам: банк получателя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ОЦК № 8 Уральского ГУ Банка России</w:t>
      </w:r>
      <w:r>
        <w:rPr>
          <w:rFonts w:ascii="Times New Roman" w:eastAsia="Times New Roman" w:hAnsi="Times New Roman" w:cs="Times New Roman"/>
          <w:sz w:val="28"/>
          <w:szCs w:val="28"/>
        </w:rPr>
        <w:t>//УФК по Ханты-Мансийскому автономному округу - Югре г. Ханты-Мансийск; получатель - УФК по Ханты-Мансийскому автономному округу - Югре (ОСФР по ХМАО - Югре, л/с 04874Ф87010), номер счета банка получателя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(номер банковского счета,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входящего в состав единого казначейского счета, Кор/счет) – 40102810245370000007, ИНН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8601002078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БИК - ТОФК – 007162163, ОКТМО - 71876000 (город Сургут), 71826000 (Сургутский р-н), счет получателя платежа (номер казначейского счета, р/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.) – 03100643000000018700, КБК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79711601230060001140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-79702700000000</w:t>
      </w:r>
      <w:r>
        <w:rPr>
          <w:rFonts w:ascii="Times New Roman" w:eastAsia="Times New Roman" w:hAnsi="Times New Roman" w:cs="Times New Roman"/>
          <w:sz w:val="28"/>
          <w:szCs w:val="28"/>
        </w:rPr>
        <w:t>362262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Неуплата административного штрафа в установленный законом срок влечет административную ответственность по ч. 1 ст. 20.25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105.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10 Сургутского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9rplc-6">
    <w:name w:val="cat-UserDefined grp-39 rplc-6"/>
    <w:basedOn w:val="DefaultParagraphFont"/>
  </w:style>
  <w:style w:type="character" w:customStyle="1" w:styleId="cat-UserDefinedgrp-40rplc-16">
    <w:name w:val="cat-UserDefined grp-40 rplc-16"/>
    <w:basedOn w:val="DefaultParagraphFont"/>
  </w:style>
  <w:style w:type="character" w:customStyle="1" w:styleId="cat-UserDefinedgrp-41rplc-18">
    <w:name w:val="cat-UserDefined grp-41 rplc-18"/>
    <w:basedOn w:val="DefaultParagraphFont"/>
  </w:style>
  <w:style w:type="character" w:customStyle="1" w:styleId="cat-UserDefinedgrp-42rplc-22">
    <w:name w:val="cat-UserDefined grp-42 rplc-22"/>
    <w:basedOn w:val="DefaultParagraphFont"/>
  </w:style>
  <w:style w:type="character" w:customStyle="1" w:styleId="cat-Timegrp-27rplc-26">
    <w:name w:val="cat-Time grp-27 rplc-26"/>
    <w:basedOn w:val="DefaultParagraphFont"/>
  </w:style>
  <w:style w:type="character" w:customStyle="1" w:styleId="cat-UserDefinedgrp-41rplc-34">
    <w:name w:val="cat-UserDefined grp-41 rplc-34"/>
    <w:basedOn w:val="DefaultParagraphFont"/>
  </w:style>
  <w:style w:type="character" w:customStyle="1" w:styleId="cat-UserDefinedgrp-40rplc-39">
    <w:name w:val="cat-UserDefined grp-40 rplc-39"/>
    <w:basedOn w:val="DefaultParagraphFont"/>
  </w:style>
  <w:style w:type="character" w:customStyle="1" w:styleId="cat-Sumgrp-25rplc-41">
    <w:name w:val="cat-Sum grp-25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